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3EF6A" w14:textId="77777777" w:rsidR="00EC1AC1" w:rsidRPr="00EC1AC1" w:rsidRDefault="00EC1AC1" w:rsidP="00EC1AC1">
      <w:pPr>
        <w:spacing w:before="100" w:beforeAutospacing="1" w:after="100" w:afterAutospacing="1" w:line="240" w:lineRule="auto"/>
        <w:outlineLvl w:val="0"/>
        <w:rPr>
          <w:rFonts w:ascii="Times New Roman" w:eastAsia="Times New Roman" w:hAnsi="Times New Roman" w:cs="Times New Roman"/>
          <w:b/>
          <w:bCs/>
          <w:kern w:val="36"/>
          <w:sz w:val="28"/>
          <w:szCs w:val="28"/>
          <w:lang w:eastAsia="it-IT"/>
        </w:rPr>
      </w:pPr>
      <w:r w:rsidRPr="00EC1AC1">
        <w:rPr>
          <w:rFonts w:ascii="Times New Roman" w:eastAsia="Times New Roman" w:hAnsi="Times New Roman" w:cs="Times New Roman"/>
          <w:b/>
          <w:bCs/>
          <w:kern w:val="36"/>
          <w:sz w:val="28"/>
          <w:szCs w:val="28"/>
          <w:lang w:eastAsia="it-IT"/>
        </w:rPr>
        <w:t xml:space="preserve">Il </w:t>
      </w:r>
      <w:proofErr w:type="spellStart"/>
      <w:r w:rsidRPr="00EC1AC1">
        <w:rPr>
          <w:rFonts w:ascii="Times New Roman" w:eastAsia="Times New Roman" w:hAnsi="Times New Roman" w:cs="Times New Roman"/>
          <w:b/>
          <w:bCs/>
          <w:kern w:val="36"/>
          <w:sz w:val="28"/>
          <w:szCs w:val="28"/>
          <w:lang w:eastAsia="it-IT"/>
        </w:rPr>
        <w:t>Cai</w:t>
      </w:r>
      <w:proofErr w:type="spellEnd"/>
      <w:r w:rsidRPr="00EC1AC1">
        <w:rPr>
          <w:rFonts w:ascii="Times New Roman" w:eastAsia="Times New Roman" w:hAnsi="Times New Roman" w:cs="Times New Roman"/>
          <w:b/>
          <w:bCs/>
          <w:kern w:val="36"/>
          <w:sz w:val="28"/>
          <w:szCs w:val="28"/>
          <w:lang w:eastAsia="it-IT"/>
        </w:rPr>
        <w:t xml:space="preserve"> sentito alla Camera sulle misure in materia di sicurezza nelle discipline sportive invernali</w:t>
      </w:r>
    </w:p>
    <w:p w14:paraId="1DD47DF7" w14:textId="77777777" w:rsidR="00EC1AC1" w:rsidRPr="00EC1AC1" w:rsidRDefault="00EC1AC1" w:rsidP="00EC1AC1">
      <w:pPr>
        <w:spacing w:after="0" w:line="240" w:lineRule="auto"/>
        <w:rPr>
          <w:rFonts w:ascii="Times New Roman" w:eastAsia="Times New Roman" w:hAnsi="Times New Roman" w:cs="Times New Roman"/>
          <w:sz w:val="24"/>
          <w:szCs w:val="24"/>
          <w:lang w:eastAsia="it-IT"/>
        </w:rPr>
      </w:pPr>
      <w:r w:rsidRPr="00EC1AC1">
        <w:rPr>
          <w:rFonts w:ascii="Times New Roman" w:eastAsia="Times New Roman" w:hAnsi="Times New Roman" w:cs="Times New Roman"/>
          <w:sz w:val="24"/>
          <w:szCs w:val="24"/>
          <w:lang w:eastAsia="it-IT"/>
        </w:rPr>
        <w:t>19 Gennaio 2021</w:t>
      </w:r>
    </w:p>
    <w:p w14:paraId="160EEE33" w14:textId="12792992" w:rsidR="00EC1AC1" w:rsidRPr="00EC1AC1" w:rsidRDefault="00EC1AC1" w:rsidP="00EC1AC1">
      <w:pPr>
        <w:spacing w:before="100" w:beforeAutospacing="1" w:after="100" w:afterAutospacing="1" w:line="240" w:lineRule="auto"/>
        <w:outlineLvl w:val="2"/>
        <w:rPr>
          <w:rFonts w:ascii="Times New Roman" w:eastAsia="Times New Roman" w:hAnsi="Times New Roman" w:cs="Times New Roman"/>
          <w:b/>
          <w:bCs/>
          <w:sz w:val="24"/>
          <w:szCs w:val="24"/>
          <w:lang w:eastAsia="it-IT"/>
        </w:rPr>
      </w:pPr>
      <w:r w:rsidRPr="00EC1AC1">
        <w:rPr>
          <w:rFonts w:ascii="Times New Roman" w:eastAsia="Times New Roman" w:hAnsi="Times New Roman" w:cs="Times New Roman"/>
          <w:b/>
          <w:bCs/>
          <w:sz w:val="24"/>
          <w:szCs w:val="24"/>
          <w:lang w:eastAsia="it-IT"/>
        </w:rPr>
        <w:t>Nelle audizioni di oggi Vincenzo Torti ha presentato le osservazioni e le proposte di modifica allo schema di decreto legislativo attuativo della legge delega 86/2019 di riforma dello sport</w:t>
      </w:r>
      <w:r>
        <w:rPr>
          <w:rFonts w:ascii="Times New Roman" w:eastAsia="Times New Roman" w:hAnsi="Times New Roman" w:cs="Times New Roman"/>
          <w:b/>
          <w:bCs/>
          <w:sz w:val="24"/>
          <w:szCs w:val="24"/>
          <w:lang w:eastAsia="it-IT"/>
        </w:rPr>
        <w:t xml:space="preserve">     </w:t>
      </w:r>
      <w:r w:rsidRPr="00EC1AC1">
        <w:rPr>
          <w:rFonts w:ascii="Times New Roman" w:eastAsia="Times New Roman" w:hAnsi="Times New Roman" w:cs="Times New Roman"/>
          <w:sz w:val="24"/>
          <w:szCs w:val="24"/>
          <w:lang w:eastAsia="it-IT"/>
        </w:rPr>
        <w:t xml:space="preserve">Il Presidente generale del Club alpino italiano </w:t>
      </w:r>
      <w:r w:rsidRPr="00EC1AC1">
        <w:rPr>
          <w:rFonts w:ascii="Times New Roman" w:eastAsia="Times New Roman" w:hAnsi="Times New Roman" w:cs="Times New Roman"/>
          <w:b/>
          <w:bCs/>
          <w:sz w:val="24"/>
          <w:szCs w:val="24"/>
          <w:lang w:eastAsia="it-IT"/>
        </w:rPr>
        <w:t>Vincenzo Torti</w:t>
      </w:r>
      <w:r w:rsidRPr="00EC1AC1">
        <w:rPr>
          <w:rFonts w:ascii="Times New Roman" w:eastAsia="Times New Roman" w:hAnsi="Times New Roman" w:cs="Times New Roman"/>
          <w:sz w:val="24"/>
          <w:szCs w:val="24"/>
          <w:lang w:eastAsia="it-IT"/>
        </w:rPr>
        <w:t xml:space="preserve"> è intervenuto stamane alle audizioni della Commissione Cultura della </w:t>
      </w:r>
      <w:r w:rsidRPr="00EC1AC1">
        <w:rPr>
          <w:rFonts w:ascii="Times New Roman" w:eastAsia="Times New Roman" w:hAnsi="Times New Roman" w:cs="Times New Roman"/>
          <w:b/>
          <w:bCs/>
          <w:sz w:val="24"/>
          <w:szCs w:val="24"/>
          <w:lang w:eastAsia="it-IT"/>
        </w:rPr>
        <w:t>Camera dei Deputati,</w:t>
      </w:r>
      <w:r w:rsidRPr="00EC1AC1">
        <w:rPr>
          <w:rFonts w:ascii="Times New Roman" w:eastAsia="Times New Roman" w:hAnsi="Times New Roman" w:cs="Times New Roman"/>
          <w:sz w:val="24"/>
          <w:szCs w:val="24"/>
          <w:lang w:eastAsia="it-IT"/>
        </w:rPr>
        <w:t xml:space="preserve"> presentando le osservazioni e le proposte di modifica del </w:t>
      </w:r>
      <w:proofErr w:type="spellStart"/>
      <w:r w:rsidRPr="00EC1AC1">
        <w:rPr>
          <w:rFonts w:ascii="Times New Roman" w:eastAsia="Times New Roman" w:hAnsi="Times New Roman" w:cs="Times New Roman"/>
          <w:sz w:val="24"/>
          <w:szCs w:val="24"/>
          <w:lang w:eastAsia="it-IT"/>
        </w:rPr>
        <w:t>Cai</w:t>
      </w:r>
      <w:proofErr w:type="spellEnd"/>
      <w:r w:rsidRPr="00EC1AC1">
        <w:rPr>
          <w:rFonts w:ascii="Times New Roman" w:eastAsia="Times New Roman" w:hAnsi="Times New Roman" w:cs="Times New Roman"/>
          <w:sz w:val="24"/>
          <w:szCs w:val="24"/>
          <w:lang w:eastAsia="it-IT"/>
        </w:rPr>
        <w:t xml:space="preserve"> allo schema di decreto legislativo (attuativo della legge delega n. 86/2019 di riforma dello sport) “</w:t>
      </w:r>
      <w:r w:rsidRPr="00EC1AC1">
        <w:rPr>
          <w:rFonts w:ascii="Times New Roman" w:eastAsia="Times New Roman" w:hAnsi="Times New Roman" w:cs="Times New Roman"/>
          <w:b/>
          <w:bCs/>
          <w:sz w:val="24"/>
          <w:szCs w:val="24"/>
          <w:lang w:eastAsia="it-IT"/>
        </w:rPr>
        <w:t>Misure in materia di sicurezza nelle discipline sportive invernali”.</w:t>
      </w:r>
      <w:r w:rsidRPr="00EC1AC1">
        <w:rPr>
          <w:rFonts w:ascii="Times New Roman" w:eastAsia="Times New Roman" w:hAnsi="Times New Roman" w:cs="Times New Roman"/>
          <w:b/>
          <w:bCs/>
          <w:sz w:val="24"/>
          <w:szCs w:val="24"/>
          <w:lang w:eastAsia="it-IT"/>
        </w:rPr>
        <w:br/>
      </w:r>
      <w:r w:rsidRPr="00EC1AC1">
        <w:rPr>
          <w:rFonts w:ascii="Times New Roman" w:eastAsia="Times New Roman" w:hAnsi="Times New Roman" w:cs="Times New Roman"/>
          <w:sz w:val="24"/>
          <w:szCs w:val="24"/>
          <w:lang w:eastAsia="it-IT"/>
        </w:rPr>
        <w:t xml:space="preserve">Osservazioni e proposte di modifica erano già allegate nella </w:t>
      </w:r>
      <w:r w:rsidRPr="00EC1AC1">
        <w:rPr>
          <w:rFonts w:ascii="Times New Roman" w:eastAsia="Times New Roman" w:hAnsi="Times New Roman" w:cs="Times New Roman"/>
          <w:b/>
          <w:bCs/>
          <w:sz w:val="24"/>
          <w:szCs w:val="24"/>
          <w:lang w:eastAsia="it-IT"/>
        </w:rPr>
        <w:t>lettera</w:t>
      </w:r>
      <w:r w:rsidRPr="00EC1AC1">
        <w:rPr>
          <w:rFonts w:ascii="Times New Roman" w:eastAsia="Times New Roman" w:hAnsi="Times New Roman" w:cs="Times New Roman"/>
          <w:sz w:val="24"/>
          <w:szCs w:val="24"/>
          <w:lang w:eastAsia="it-IT"/>
        </w:rPr>
        <w:t xml:space="preserve"> indirizzata i giorni scorsi al Ministro per lo Sport, </w:t>
      </w:r>
      <w:r w:rsidRPr="00EC1AC1">
        <w:rPr>
          <w:rFonts w:ascii="Times New Roman" w:eastAsia="Times New Roman" w:hAnsi="Times New Roman" w:cs="Times New Roman"/>
          <w:b/>
          <w:bCs/>
          <w:sz w:val="24"/>
          <w:szCs w:val="24"/>
          <w:lang w:eastAsia="it-IT"/>
        </w:rPr>
        <w:t>Vincenzo Spadafora</w:t>
      </w:r>
      <w:r w:rsidRPr="00EC1AC1">
        <w:rPr>
          <w:rFonts w:ascii="Times New Roman" w:eastAsia="Times New Roman" w:hAnsi="Times New Roman" w:cs="Times New Roman"/>
          <w:sz w:val="24"/>
          <w:szCs w:val="24"/>
          <w:lang w:eastAsia="it-IT"/>
        </w:rPr>
        <w:t xml:space="preserve">, e al Presidente della Conferenza delle Regioni e delle Province Autonome, </w:t>
      </w:r>
      <w:r w:rsidRPr="00EC1AC1">
        <w:rPr>
          <w:rFonts w:ascii="Times New Roman" w:eastAsia="Times New Roman" w:hAnsi="Times New Roman" w:cs="Times New Roman"/>
          <w:b/>
          <w:bCs/>
          <w:sz w:val="24"/>
          <w:szCs w:val="24"/>
          <w:lang w:eastAsia="it-IT"/>
        </w:rPr>
        <w:t>Stefano Bonaccini,</w:t>
      </w:r>
      <w:r w:rsidRPr="00EC1AC1">
        <w:rPr>
          <w:rFonts w:ascii="Times New Roman" w:eastAsia="Times New Roman" w:hAnsi="Times New Roman" w:cs="Times New Roman"/>
          <w:sz w:val="24"/>
          <w:szCs w:val="24"/>
          <w:lang w:eastAsia="it-IT"/>
        </w:rPr>
        <w:t xml:space="preserve"> nonché alle competenti Commissioni di Senato e Camera (</w:t>
      </w:r>
      <w:hyperlink r:id="rId4" w:tgtFrame="_blank" w:history="1">
        <w:r w:rsidRPr="00EC1AC1">
          <w:rPr>
            <w:rFonts w:ascii="Times New Roman" w:eastAsia="Times New Roman" w:hAnsi="Times New Roman" w:cs="Times New Roman"/>
            <w:color w:val="0000FF"/>
            <w:sz w:val="24"/>
            <w:szCs w:val="24"/>
            <w:u w:val="single"/>
            <w:lang w:eastAsia="it-IT"/>
          </w:rPr>
          <w:t>leggi l’articolo</w:t>
        </w:r>
      </w:hyperlink>
      <w:r w:rsidRPr="00EC1AC1">
        <w:rPr>
          <w:rFonts w:ascii="Times New Roman" w:eastAsia="Times New Roman" w:hAnsi="Times New Roman" w:cs="Times New Roman"/>
          <w:sz w:val="24"/>
          <w:szCs w:val="24"/>
          <w:lang w:eastAsia="it-IT"/>
        </w:rPr>
        <w:t xml:space="preserve">). Con questi documenti il </w:t>
      </w:r>
      <w:proofErr w:type="spellStart"/>
      <w:r w:rsidRPr="00EC1AC1">
        <w:rPr>
          <w:rFonts w:ascii="Times New Roman" w:eastAsia="Times New Roman" w:hAnsi="Times New Roman" w:cs="Times New Roman"/>
          <w:sz w:val="24"/>
          <w:szCs w:val="24"/>
          <w:lang w:eastAsia="it-IT"/>
        </w:rPr>
        <w:t>Cai</w:t>
      </w:r>
      <w:proofErr w:type="spellEnd"/>
      <w:r w:rsidRPr="00EC1AC1">
        <w:rPr>
          <w:rFonts w:ascii="Times New Roman" w:eastAsia="Times New Roman" w:hAnsi="Times New Roman" w:cs="Times New Roman"/>
          <w:sz w:val="24"/>
          <w:szCs w:val="24"/>
          <w:lang w:eastAsia="it-IT"/>
        </w:rPr>
        <w:t xml:space="preserve"> ha inteso contemperare l’attenzione all’esigenza di sicurezza e tutela delle persone senza però, per questo, imporre ingiustificate limitazioni alla libertà individuale e prevedere obblighi immotivati.</w:t>
      </w:r>
    </w:p>
    <w:p w14:paraId="6176BC72" w14:textId="27DD02C9" w:rsidR="00EC1AC1" w:rsidRPr="00EC1AC1" w:rsidRDefault="00EC1AC1" w:rsidP="00EC1AC1">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EC1AC1">
        <w:rPr>
          <w:rFonts w:ascii="Times New Roman" w:eastAsia="Times New Roman" w:hAnsi="Times New Roman" w:cs="Times New Roman"/>
          <w:b/>
          <w:bCs/>
          <w:sz w:val="27"/>
          <w:szCs w:val="27"/>
          <w:lang w:eastAsia="it-IT"/>
        </w:rPr>
        <w:t>Il concetto di “territorio aperto”</w:t>
      </w:r>
      <w:r>
        <w:rPr>
          <w:rFonts w:ascii="Times New Roman" w:eastAsia="Times New Roman" w:hAnsi="Times New Roman" w:cs="Times New Roman"/>
          <w:b/>
          <w:bCs/>
          <w:sz w:val="27"/>
          <w:szCs w:val="27"/>
          <w:lang w:eastAsia="it-IT"/>
        </w:rPr>
        <w:tab/>
      </w:r>
      <w:r w:rsidRPr="00EC1AC1">
        <w:rPr>
          <w:rFonts w:ascii="Times New Roman" w:eastAsia="Times New Roman" w:hAnsi="Times New Roman" w:cs="Times New Roman"/>
          <w:sz w:val="24"/>
          <w:szCs w:val="24"/>
          <w:lang w:eastAsia="it-IT"/>
        </w:rPr>
        <w:t xml:space="preserve">Il Presidente generale si è soffermato su diversi punti, a cominciare dalla definizione di </w:t>
      </w:r>
      <w:r w:rsidRPr="00EC1AC1">
        <w:rPr>
          <w:rFonts w:ascii="Times New Roman" w:eastAsia="Times New Roman" w:hAnsi="Times New Roman" w:cs="Times New Roman"/>
          <w:b/>
          <w:bCs/>
          <w:sz w:val="24"/>
          <w:szCs w:val="24"/>
          <w:lang w:eastAsia="it-IT"/>
        </w:rPr>
        <w:t>“aree sciabili attrezzate”</w:t>
      </w:r>
      <w:r w:rsidRPr="00EC1AC1">
        <w:rPr>
          <w:rFonts w:ascii="Times New Roman" w:eastAsia="Times New Roman" w:hAnsi="Times New Roman" w:cs="Times New Roman"/>
          <w:sz w:val="24"/>
          <w:szCs w:val="24"/>
          <w:lang w:eastAsia="it-IT"/>
        </w:rPr>
        <w:t xml:space="preserve"> contenuta nell’art. 2 dello Schema, che si è proposto di sostituire con quella dell’Allegato 2 della Direttiva del Presidente del Consiglio dei ministri del 12 agosto 2019. In quest’ultima vi si associa il concetto di </w:t>
      </w:r>
      <w:r w:rsidRPr="00EC1AC1">
        <w:rPr>
          <w:rFonts w:ascii="Times New Roman" w:eastAsia="Times New Roman" w:hAnsi="Times New Roman" w:cs="Times New Roman"/>
          <w:b/>
          <w:bCs/>
          <w:sz w:val="24"/>
          <w:szCs w:val="24"/>
          <w:lang w:eastAsia="it-IT"/>
        </w:rPr>
        <w:t>“territorio aperto”</w:t>
      </w:r>
      <w:r w:rsidRPr="00EC1AC1">
        <w:rPr>
          <w:rFonts w:ascii="Times New Roman" w:eastAsia="Times New Roman" w:hAnsi="Times New Roman" w:cs="Times New Roman"/>
          <w:sz w:val="24"/>
          <w:szCs w:val="24"/>
          <w:lang w:eastAsia="it-IT"/>
        </w:rPr>
        <w:t>, inteso come territorio montano che non fa parte né dei comprensori sciistici né dei centri abitati. In questa porzione di Terre alte vengono praticate molte altre discipline come l’escursionismo con le racchette da neve, lo scialpinismo, lo sci di fondo escursionismo e lo sci fuori pista, attività delle quali lo Schema si occupa, senza però fornirne un’adeguata definizione.</w:t>
      </w:r>
    </w:p>
    <w:p w14:paraId="56A8F335" w14:textId="4D24EFEA" w:rsidR="00EC1AC1" w:rsidRPr="00EC1AC1" w:rsidRDefault="00EC1AC1" w:rsidP="00EC1AC1">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EC1AC1">
        <w:rPr>
          <w:rFonts w:ascii="Times New Roman" w:eastAsia="Times New Roman" w:hAnsi="Times New Roman" w:cs="Times New Roman"/>
          <w:b/>
          <w:bCs/>
          <w:sz w:val="27"/>
          <w:szCs w:val="27"/>
          <w:lang w:eastAsia="it-IT"/>
        </w:rPr>
        <w:t>Valanghe e mezzi di soccorso</w:t>
      </w:r>
      <w:r>
        <w:rPr>
          <w:rFonts w:ascii="Times New Roman" w:eastAsia="Times New Roman" w:hAnsi="Times New Roman" w:cs="Times New Roman"/>
          <w:b/>
          <w:bCs/>
          <w:sz w:val="27"/>
          <w:szCs w:val="27"/>
          <w:lang w:eastAsia="it-IT"/>
        </w:rPr>
        <w:tab/>
      </w:r>
      <w:r w:rsidRPr="00EC1AC1">
        <w:rPr>
          <w:rFonts w:ascii="Times New Roman" w:eastAsia="Times New Roman" w:hAnsi="Times New Roman" w:cs="Times New Roman"/>
          <w:sz w:val="24"/>
          <w:szCs w:val="24"/>
          <w:lang w:eastAsia="it-IT"/>
        </w:rPr>
        <w:t xml:space="preserve">Torti ha poi analizzato l’art 6 osservando che, tra i requisiti tecnici che le piste da sci dovrebbero soddisfare, tiene conto solo delle condizioni idrogeologiche, trascurando il tema delle </w:t>
      </w:r>
      <w:r w:rsidRPr="00EC1AC1">
        <w:rPr>
          <w:rFonts w:ascii="Times New Roman" w:eastAsia="Times New Roman" w:hAnsi="Times New Roman" w:cs="Times New Roman"/>
          <w:b/>
          <w:bCs/>
          <w:sz w:val="24"/>
          <w:szCs w:val="24"/>
          <w:lang w:eastAsia="it-IT"/>
        </w:rPr>
        <w:t>valanghe</w:t>
      </w:r>
      <w:r w:rsidRPr="00EC1AC1">
        <w:rPr>
          <w:rFonts w:ascii="Times New Roman" w:eastAsia="Times New Roman" w:hAnsi="Times New Roman" w:cs="Times New Roman"/>
          <w:sz w:val="24"/>
          <w:szCs w:val="24"/>
          <w:lang w:eastAsia="it-IT"/>
        </w:rPr>
        <w:t xml:space="preserve">, che, di contro, assume particolare valenza in materia di adeguata </w:t>
      </w:r>
      <w:r w:rsidRPr="00EC1AC1">
        <w:rPr>
          <w:rFonts w:ascii="Times New Roman" w:eastAsia="Times New Roman" w:hAnsi="Times New Roman" w:cs="Times New Roman"/>
          <w:b/>
          <w:bCs/>
          <w:sz w:val="24"/>
          <w:szCs w:val="24"/>
          <w:lang w:eastAsia="it-IT"/>
        </w:rPr>
        <w:t>prevenzione</w:t>
      </w:r>
      <w:r w:rsidRPr="00EC1AC1">
        <w:rPr>
          <w:rFonts w:ascii="Times New Roman" w:eastAsia="Times New Roman" w:hAnsi="Times New Roman" w:cs="Times New Roman"/>
          <w:sz w:val="24"/>
          <w:szCs w:val="24"/>
          <w:lang w:eastAsia="it-IT"/>
        </w:rPr>
        <w:t>.</w:t>
      </w:r>
      <w:r w:rsidRPr="00EC1AC1">
        <w:rPr>
          <w:rFonts w:ascii="Times New Roman" w:eastAsia="Times New Roman" w:hAnsi="Times New Roman" w:cs="Times New Roman"/>
          <w:sz w:val="24"/>
          <w:szCs w:val="24"/>
          <w:lang w:eastAsia="it-IT"/>
        </w:rPr>
        <w:br/>
        <w:t xml:space="preserve">Altre osservazioni sono state espresse rispetto all’art. 23, nel quale si accomunano nel divieto di transito sulle piste in funzione sia i mezzi meccanici per la manutenzione sia quelli per il </w:t>
      </w:r>
      <w:r w:rsidRPr="00EC1AC1">
        <w:rPr>
          <w:rFonts w:ascii="Times New Roman" w:eastAsia="Times New Roman" w:hAnsi="Times New Roman" w:cs="Times New Roman"/>
          <w:b/>
          <w:bCs/>
          <w:sz w:val="24"/>
          <w:szCs w:val="24"/>
          <w:lang w:eastAsia="it-IT"/>
        </w:rPr>
        <w:t>soccorso</w:t>
      </w:r>
      <w:r w:rsidRPr="00EC1AC1">
        <w:rPr>
          <w:rFonts w:ascii="Times New Roman" w:eastAsia="Times New Roman" w:hAnsi="Times New Roman" w:cs="Times New Roman"/>
          <w:sz w:val="24"/>
          <w:szCs w:val="24"/>
          <w:lang w:eastAsia="it-IT"/>
        </w:rPr>
        <w:t>, salvo necessità e urgenza. Condizioni, queste ultime, che rappresentano la regola implicita per un intervento di soccorso e che, pertanto, non devono essere considerate come eccezione.</w:t>
      </w:r>
    </w:p>
    <w:p w14:paraId="19CB4008" w14:textId="42B7FD7E" w:rsidR="00EC1AC1" w:rsidRPr="00EC1AC1" w:rsidRDefault="00EC1AC1" w:rsidP="00EC1AC1">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EC1AC1">
        <w:rPr>
          <w:rFonts w:ascii="Times New Roman" w:eastAsia="Times New Roman" w:hAnsi="Times New Roman" w:cs="Times New Roman"/>
          <w:b/>
          <w:bCs/>
          <w:sz w:val="27"/>
          <w:szCs w:val="27"/>
          <w:lang w:eastAsia="it-IT"/>
        </w:rPr>
        <w:t xml:space="preserve">L’obbligo di </w:t>
      </w:r>
      <w:proofErr w:type="spellStart"/>
      <w:r w:rsidRPr="00EC1AC1">
        <w:rPr>
          <w:rFonts w:ascii="Times New Roman" w:eastAsia="Times New Roman" w:hAnsi="Times New Roman" w:cs="Times New Roman"/>
          <w:b/>
          <w:bCs/>
          <w:sz w:val="27"/>
          <w:szCs w:val="27"/>
          <w:lang w:eastAsia="it-IT"/>
        </w:rPr>
        <w:t>artva</w:t>
      </w:r>
      <w:proofErr w:type="spellEnd"/>
      <w:r w:rsidRPr="00EC1AC1">
        <w:rPr>
          <w:rFonts w:ascii="Times New Roman" w:eastAsia="Times New Roman" w:hAnsi="Times New Roman" w:cs="Times New Roman"/>
          <w:b/>
          <w:bCs/>
          <w:sz w:val="27"/>
          <w:szCs w:val="27"/>
          <w:lang w:eastAsia="it-IT"/>
        </w:rPr>
        <w:t>, pala e sonda</w:t>
      </w:r>
      <w:r>
        <w:rPr>
          <w:rFonts w:ascii="Times New Roman" w:eastAsia="Times New Roman" w:hAnsi="Times New Roman" w:cs="Times New Roman"/>
          <w:b/>
          <w:bCs/>
          <w:sz w:val="27"/>
          <w:szCs w:val="27"/>
          <w:lang w:eastAsia="it-IT"/>
        </w:rPr>
        <w:tab/>
      </w:r>
      <w:r w:rsidRPr="00EC1AC1">
        <w:rPr>
          <w:rFonts w:ascii="Times New Roman" w:eastAsia="Times New Roman" w:hAnsi="Times New Roman" w:cs="Times New Roman"/>
          <w:sz w:val="24"/>
          <w:szCs w:val="24"/>
          <w:lang w:eastAsia="it-IT"/>
        </w:rPr>
        <w:t>Il punto focale dell’intervento ha riguardato la previsione, contenuta nell’art. 24, dell’obbligo di dotarsi di strumenti di autosoccorso (</w:t>
      </w:r>
      <w:proofErr w:type="spellStart"/>
      <w:r w:rsidRPr="00EC1AC1">
        <w:rPr>
          <w:rFonts w:ascii="Times New Roman" w:eastAsia="Times New Roman" w:hAnsi="Times New Roman" w:cs="Times New Roman"/>
          <w:b/>
          <w:bCs/>
          <w:sz w:val="24"/>
          <w:szCs w:val="24"/>
          <w:lang w:eastAsia="it-IT"/>
        </w:rPr>
        <w:t>artva</w:t>
      </w:r>
      <w:proofErr w:type="spellEnd"/>
      <w:r w:rsidRPr="00EC1AC1">
        <w:rPr>
          <w:rFonts w:ascii="Times New Roman" w:eastAsia="Times New Roman" w:hAnsi="Times New Roman" w:cs="Times New Roman"/>
          <w:b/>
          <w:bCs/>
          <w:sz w:val="24"/>
          <w:szCs w:val="24"/>
          <w:lang w:eastAsia="it-IT"/>
        </w:rPr>
        <w:t>, pala e sonda</w:t>
      </w:r>
      <w:r w:rsidRPr="00EC1AC1">
        <w:rPr>
          <w:rFonts w:ascii="Times New Roman" w:eastAsia="Times New Roman" w:hAnsi="Times New Roman" w:cs="Times New Roman"/>
          <w:sz w:val="24"/>
          <w:szCs w:val="24"/>
          <w:lang w:eastAsia="it-IT"/>
        </w:rPr>
        <w:t>) in capo a tutti i frequentatori dell’ambiente innevato</w:t>
      </w:r>
      <w:r w:rsidRPr="00EC1AC1">
        <w:rPr>
          <w:rFonts w:ascii="Times New Roman" w:eastAsia="Times New Roman" w:hAnsi="Times New Roman" w:cs="Times New Roman"/>
          <w:b/>
          <w:bCs/>
          <w:sz w:val="24"/>
          <w:szCs w:val="24"/>
          <w:lang w:eastAsia="it-IT"/>
        </w:rPr>
        <w:t xml:space="preserve"> in senso generico</w:t>
      </w:r>
      <w:r w:rsidRPr="00EC1AC1">
        <w:rPr>
          <w:rFonts w:ascii="Times New Roman" w:eastAsia="Times New Roman" w:hAnsi="Times New Roman" w:cs="Times New Roman"/>
          <w:sz w:val="24"/>
          <w:szCs w:val="24"/>
          <w:lang w:eastAsia="it-IT"/>
        </w:rPr>
        <w:t xml:space="preserve">. Si tratta di una previsione da correggere, limitando l’obbligo di dotazione solo nei contesti e nelle situazioni in cui sia sussistente un </w:t>
      </w:r>
      <w:r w:rsidRPr="00EC1AC1">
        <w:rPr>
          <w:rFonts w:ascii="Times New Roman" w:eastAsia="Times New Roman" w:hAnsi="Times New Roman" w:cs="Times New Roman"/>
          <w:b/>
          <w:bCs/>
          <w:sz w:val="24"/>
          <w:szCs w:val="24"/>
          <w:lang w:eastAsia="it-IT"/>
        </w:rPr>
        <w:t>concreto pericolo di valanghe</w:t>
      </w:r>
      <w:r w:rsidRPr="00EC1AC1">
        <w:rPr>
          <w:rFonts w:ascii="Times New Roman" w:eastAsia="Times New Roman" w:hAnsi="Times New Roman" w:cs="Times New Roman"/>
          <w:sz w:val="24"/>
          <w:szCs w:val="24"/>
          <w:lang w:eastAsia="it-IT"/>
        </w:rPr>
        <w:t>, in assenza del quale tale obbligo non avrebbe ragion d’essere.</w:t>
      </w:r>
    </w:p>
    <w:p w14:paraId="25643F8F" w14:textId="1430F16D" w:rsidR="00EC1AC1" w:rsidRPr="00EC1AC1" w:rsidRDefault="00EC1AC1" w:rsidP="00EC1AC1">
      <w:pPr>
        <w:spacing w:after="0" w:line="240" w:lineRule="auto"/>
        <w:rPr>
          <w:rFonts w:ascii="Times New Roman" w:eastAsia="Times New Roman" w:hAnsi="Times New Roman" w:cs="Times New Roman"/>
          <w:sz w:val="24"/>
          <w:szCs w:val="24"/>
          <w:lang w:eastAsia="it-IT"/>
        </w:rPr>
      </w:pPr>
    </w:p>
    <w:p w14:paraId="6B560514" w14:textId="77777777" w:rsidR="00EC1AC1" w:rsidRPr="00EC1AC1" w:rsidRDefault="00EC1AC1" w:rsidP="00EC1AC1">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EC1AC1">
        <w:rPr>
          <w:rFonts w:ascii="Times New Roman" w:eastAsia="Times New Roman" w:hAnsi="Times New Roman" w:cs="Times New Roman"/>
          <w:b/>
          <w:bCs/>
          <w:sz w:val="27"/>
          <w:szCs w:val="27"/>
          <w:lang w:eastAsia="it-IT"/>
        </w:rPr>
        <w:t>Pericolo e rischio</w:t>
      </w:r>
    </w:p>
    <w:p w14:paraId="52E3BEB0" w14:textId="27849A80" w:rsidR="00B92254" w:rsidRDefault="00EC1AC1" w:rsidP="00EC1AC1">
      <w:pPr>
        <w:spacing w:before="100" w:beforeAutospacing="1" w:after="100" w:afterAutospacing="1" w:line="240" w:lineRule="auto"/>
      </w:pPr>
      <w:r w:rsidRPr="00EC1AC1">
        <w:rPr>
          <w:rFonts w:ascii="Times New Roman" w:eastAsia="Times New Roman" w:hAnsi="Times New Roman" w:cs="Times New Roman"/>
          <w:sz w:val="24"/>
          <w:szCs w:val="24"/>
          <w:lang w:eastAsia="it-IT"/>
        </w:rPr>
        <w:t xml:space="preserve">Un’ultima nota ha riguardato la disfunzione tra concetti che spesso vengono usati come equivalenti, cioè “pericolo” e “rischio”: </w:t>
      </w:r>
      <w:r w:rsidRPr="00EC1AC1">
        <w:rPr>
          <w:rFonts w:ascii="Times New Roman" w:eastAsia="Times New Roman" w:hAnsi="Times New Roman" w:cs="Times New Roman"/>
          <w:b/>
          <w:bCs/>
          <w:sz w:val="24"/>
          <w:szCs w:val="24"/>
          <w:lang w:eastAsia="it-IT"/>
        </w:rPr>
        <w:t>oggettivo</w:t>
      </w:r>
      <w:r w:rsidRPr="00EC1AC1">
        <w:rPr>
          <w:rFonts w:ascii="Times New Roman" w:eastAsia="Times New Roman" w:hAnsi="Times New Roman" w:cs="Times New Roman"/>
          <w:sz w:val="24"/>
          <w:szCs w:val="24"/>
          <w:lang w:eastAsia="it-IT"/>
        </w:rPr>
        <w:t xml:space="preserve"> il primo, legato alla situazione esterna, </w:t>
      </w:r>
      <w:r w:rsidRPr="00EC1AC1">
        <w:rPr>
          <w:rFonts w:ascii="Times New Roman" w:eastAsia="Times New Roman" w:hAnsi="Times New Roman" w:cs="Times New Roman"/>
          <w:b/>
          <w:bCs/>
          <w:sz w:val="24"/>
          <w:szCs w:val="24"/>
          <w:lang w:eastAsia="it-IT"/>
        </w:rPr>
        <w:t>soggettivo</w:t>
      </w:r>
      <w:r w:rsidRPr="00EC1AC1">
        <w:rPr>
          <w:rFonts w:ascii="Times New Roman" w:eastAsia="Times New Roman" w:hAnsi="Times New Roman" w:cs="Times New Roman"/>
          <w:sz w:val="24"/>
          <w:szCs w:val="24"/>
          <w:lang w:eastAsia="it-IT"/>
        </w:rPr>
        <w:t xml:space="preserve"> il secondo, connesso alla volontà del singolo di affrontare situazioni pericolose.</w:t>
      </w:r>
    </w:p>
    <w:sectPr w:rsidR="00B922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AC1"/>
    <w:rsid w:val="00B92254"/>
    <w:rsid w:val="00EC1A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4F612"/>
  <w15:chartTrackingRefBased/>
  <w15:docId w15:val="{AED3FA2B-3D5C-4E6B-9F5F-30AF58A0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747074">
      <w:bodyDiv w:val="1"/>
      <w:marLeft w:val="0"/>
      <w:marRight w:val="0"/>
      <w:marTop w:val="0"/>
      <w:marBottom w:val="0"/>
      <w:divBdr>
        <w:top w:val="none" w:sz="0" w:space="0" w:color="auto"/>
        <w:left w:val="none" w:sz="0" w:space="0" w:color="auto"/>
        <w:bottom w:val="none" w:sz="0" w:space="0" w:color="auto"/>
        <w:right w:val="none" w:sz="0" w:space="0" w:color="auto"/>
      </w:divBdr>
      <w:divsChild>
        <w:div w:id="1300920028">
          <w:marLeft w:val="0"/>
          <w:marRight w:val="0"/>
          <w:marTop w:val="0"/>
          <w:marBottom w:val="0"/>
          <w:divBdr>
            <w:top w:val="none" w:sz="0" w:space="0" w:color="auto"/>
            <w:left w:val="none" w:sz="0" w:space="0" w:color="auto"/>
            <w:bottom w:val="none" w:sz="0" w:space="0" w:color="auto"/>
            <w:right w:val="none" w:sz="0" w:space="0" w:color="auto"/>
          </w:divBdr>
          <w:divsChild>
            <w:div w:id="1629388334">
              <w:marLeft w:val="0"/>
              <w:marRight w:val="0"/>
              <w:marTop w:val="0"/>
              <w:marBottom w:val="0"/>
              <w:divBdr>
                <w:top w:val="none" w:sz="0" w:space="0" w:color="auto"/>
                <w:left w:val="none" w:sz="0" w:space="0" w:color="auto"/>
                <w:bottom w:val="none" w:sz="0" w:space="0" w:color="auto"/>
                <w:right w:val="none" w:sz="0" w:space="0" w:color="auto"/>
              </w:divBdr>
              <w:divsChild>
                <w:div w:id="554581506">
                  <w:marLeft w:val="0"/>
                  <w:marRight w:val="0"/>
                  <w:marTop w:val="0"/>
                  <w:marBottom w:val="0"/>
                  <w:divBdr>
                    <w:top w:val="none" w:sz="0" w:space="0" w:color="auto"/>
                    <w:left w:val="none" w:sz="0" w:space="0" w:color="auto"/>
                    <w:bottom w:val="none" w:sz="0" w:space="0" w:color="auto"/>
                    <w:right w:val="none" w:sz="0" w:space="0" w:color="auto"/>
                  </w:divBdr>
                </w:div>
                <w:div w:id="1734934612">
                  <w:marLeft w:val="0"/>
                  <w:marRight w:val="0"/>
                  <w:marTop w:val="0"/>
                  <w:marBottom w:val="0"/>
                  <w:divBdr>
                    <w:top w:val="none" w:sz="0" w:space="0" w:color="auto"/>
                    <w:left w:val="none" w:sz="0" w:space="0" w:color="auto"/>
                    <w:bottom w:val="none" w:sz="0" w:space="0" w:color="auto"/>
                    <w:right w:val="none" w:sz="0" w:space="0" w:color="auto"/>
                  </w:divBdr>
                </w:div>
                <w:div w:id="3101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0038">
          <w:marLeft w:val="0"/>
          <w:marRight w:val="0"/>
          <w:marTop w:val="0"/>
          <w:marBottom w:val="0"/>
          <w:divBdr>
            <w:top w:val="none" w:sz="0" w:space="0" w:color="auto"/>
            <w:left w:val="none" w:sz="0" w:space="0" w:color="auto"/>
            <w:bottom w:val="none" w:sz="0" w:space="0" w:color="auto"/>
            <w:right w:val="none" w:sz="0" w:space="0" w:color="auto"/>
          </w:divBdr>
        </w:div>
        <w:div w:id="1174880998">
          <w:marLeft w:val="0"/>
          <w:marRight w:val="0"/>
          <w:marTop w:val="0"/>
          <w:marBottom w:val="0"/>
          <w:divBdr>
            <w:top w:val="none" w:sz="0" w:space="0" w:color="auto"/>
            <w:left w:val="none" w:sz="0" w:space="0" w:color="auto"/>
            <w:bottom w:val="none" w:sz="0" w:space="0" w:color="auto"/>
            <w:right w:val="none" w:sz="0" w:space="0" w:color="auto"/>
          </w:divBdr>
        </w:div>
        <w:div w:id="385300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oscarpone.cai.it/sicurezza-negli-sport-invernali-inviate-le-proposte-di-modifica-del-ca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Proprietario</cp:lastModifiedBy>
  <cp:revision>2</cp:revision>
  <cp:lastPrinted>2021-03-12T18:30:00Z</cp:lastPrinted>
  <dcterms:created xsi:type="dcterms:W3CDTF">2021-03-12T18:26:00Z</dcterms:created>
  <dcterms:modified xsi:type="dcterms:W3CDTF">2021-03-12T18:33:00Z</dcterms:modified>
</cp:coreProperties>
</file>